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118" w:rsidRPr="003316F8" w:rsidRDefault="00201118" w:rsidP="003316F8">
      <w:pPr>
        <w:tabs>
          <w:tab w:val="left" w:pos="7371"/>
          <w:tab w:val="left" w:pos="7513"/>
        </w:tabs>
        <w:spacing w:after="0" w:line="240" w:lineRule="auto"/>
        <w:ind w:left="4649"/>
        <w:jc w:val="right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УТВЕРЖДЕНА</w:t>
      </w:r>
    </w:p>
    <w:p w:rsidR="003316F8" w:rsidRPr="003316F8" w:rsidRDefault="00201118" w:rsidP="003316F8">
      <w:pPr>
        <w:tabs>
          <w:tab w:val="left" w:pos="7371"/>
          <w:tab w:val="left" w:pos="7513"/>
        </w:tabs>
        <w:spacing w:after="0" w:line="240" w:lineRule="auto"/>
        <w:ind w:left="4649"/>
        <w:jc w:val="right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Постановлением Правления </w:t>
      </w:r>
    </w:p>
    <w:p w:rsidR="00201118" w:rsidRPr="003316F8" w:rsidRDefault="00201118" w:rsidP="003316F8">
      <w:pPr>
        <w:tabs>
          <w:tab w:val="left" w:pos="7371"/>
          <w:tab w:val="left" w:pos="7513"/>
        </w:tabs>
        <w:spacing w:after="0" w:line="240" w:lineRule="auto"/>
        <w:ind w:left="4649"/>
        <w:jc w:val="right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ОАО «Газпром»</w:t>
      </w:r>
    </w:p>
    <w:p w:rsidR="00201118" w:rsidRPr="003316F8" w:rsidRDefault="003316F8" w:rsidP="003316F8">
      <w:pPr>
        <w:tabs>
          <w:tab w:val="left" w:pos="7371"/>
          <w:tab w:val="left" w:pos="7513"/>
        </w:tabs>
        <w:spacing w:after="0" w:line="240" w:lineRule="auto"/>
        <w:ind w:left="4649"/>
        <w:jc w:val="right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r w:rsidR="00201118" w:rsidRPr="003316F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от 25 мая 2015 № 21</w:t>
      </w:r>
    </w:p>
    <w:p w:rsidR="003316F8" w:rsidRDefault="003316F8" w:rsidP="00201118">
      <w:pPr>
        <w:tabs>
          <w:tab w:val="left" w:pos="7371"/>
          <w:tab w:val="left" w:pos="7513"/>
        </w:tabs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36"/>
          <w:lang w:eastAsia="ru-RU"/>
        </w:rPr>
      </w:pPr>
    </w:p>
    <w:p w:rsidR="007F5372" w:rsidRPr="003316F8" w:rsidRDefault="00D01AD7" w:rsidP="00201118">
      <w:pPr>
        <w:tabs>
          <w:tab w:val="left" w:pos="7371"/>
          <w:tab w:val="left" w:pos="7513"/>
        </w:tabs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36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36"/>
          <w:lang w:eastAsia="ru-RU"/>
        </w:rPr>
        <w:t>ЭКОЛОГИЧЕСКАЯ ПОЛИТИКА</w:t>
      </w:r>
      <w:r w:rsidR="00201118" w:rsidRPr="003316F8"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36"/>
          <w:lang w:eastAsia="ru-RU"/>
        </w:rPr>
        <w:t xml:space="preserve"> ОАО </w:t>
      </w:r>
      <w:r w:rsidR="0099066A" w:rsidRPr="003316F8"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36"/>
          <w:lang w:eastAsia="ru-RU"/>
        </w:rPr>
        <w:t>«ГАЗПРОМ»</w:t>
      </w:r>
    </w:p>
    <w:p w:rsidR="007F5372" w:rsidRPr="003316F8" w:rsidRDefault="007F5372" w:rsidP="00201118">
      <w:pPr>
        <w:tabs>
          <w:tab w:val="left" w:pos="7513"/>
        </w:tabs>
        <w:spacing w:before="36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E74B5" w:themeColor="accent1" w:themeShade="BF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color w:val="2E74B5" w:themeColor="accent1" w:themeShade="BF"/>
          <w:lang w:eastAsia="ru-RU"/>
        </w:rPr>
        <w:t>Общие положения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Открытое акционерное общество «Газпром» — глобальная энергетическая компания, осуществляющая геологоразведку и добычу природного газа, газового конденсата и нефти, их транспортировку, хранение, переработку и реализацию, а также производство электроэнергии в России и за рубежом.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ОАО «Газпром», его дочерние общества и организации образуют вертикально интегрированную компанию (далее — Компания), в которой ОАО «Газпром» является головной компанией, определяющей общую стратегию развития.</w:t>
      </w:r>
    </w:p>
    <w:p w:rsidR="007F5372" w:rsidRPr="003316F8" w:rsidRDefault="007F5372" w:rsidP="007F5372">
      <w:pPr>
        <w:tabs>
          <w:tab w:val="left" w:pos="6663"/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Стратегией ОАО «Газпром» является становление как лидера среди глобальных энергетических компаний. Это подразумевает ответственное отношение к сохранению благоприятной окружающей среды для нынешних и будущих поколений.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 xml:space="preserve">Экологическая политика ОАО «Газпром» основана на Конституции Российской Федерации, федеральных законах и иных нормативных правовых актах Российской Федерации, международных нормативно-правовых документах в области охраны окружающей среды и рационального использования природных ресурсов. 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Экологическая политика является документом, выр</w:t>
      </w:r>
      <w:r w:rsidR="00064486">
        <w:rPr>
          <w:rFonts w:ascii="Times New Roman" w:eastAsia="Times New Roman" w:hAnsi="Times New Roman" w:cs="Times New Roman"/>
          <w:color w:val="000000"/>
          <w:lang w:eastAsia="ru-RU"/>
        </w:rPr>
        <w:t>ажающим официальную позицию ОАО </w:t>
      </w: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«Газпром» в отношении роли Компании и ее обязательств в сохранении благоприятной окружающей среды в регионах присутствия Компании.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Экологическая политика является основой для установления среднесрочных корпоративных экологических целей, подлежит учету при разработке программ перспективного развития Компании.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Экологическая политика доводится до сведения каждого работника Компании и должна стать ориентиром для всех без исключения партнеров Компании.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Экологическая политика подлежит пересмотру, корректировке и совершенствованию при изменении приоритетов развития и условий деятельности Компании в соответствии с процедурами, установленными в системе экологического менеджмента ОАО «Газпром».</w:t>
      </w:r>
    </w:p>
    <w:p w:rsidR="007F5372" w:rsidRPr="003316F8" w:rsidRDefault="007F5372" w:rsidP="00201118">
      <w:pPr>
        <w:tabs>
          <w:tab w:val="left" w:pos="7371"/>
          <w:tab w:val="left" w:pos="7513"/>
        </w:tabs>
        <w:spacing w:before="36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E74B5" w:themeColor="accent1" w:themeShade="BF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color w:val="2E74B5" w:themeColor="accent1" w:themeShade="BF"/>
          <w:lang w:eastAsia="ru-RU"/>
        </w:rPr>
        <w:t>Обязательства Компании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ОАО «Газпром» заявляет о своей приверженности принципам устойчивого развития, под которым понимается сбалансированное и социально приемлемое сочетание экономического роста и сохранения благоприятной окружающей среды для будущих поколений.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Исходя из этого, Компания принимает на себя следующие обязательства, которые она будет выполнять и требовать их выполнения от своих партнеров, подрядчиков и контрагентов: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Гарантировать соблюдение экологических норм и требований, установленных законодательством Российской Федерации, международными правовыми актами в области охраны окружающей среды и законодательством стран присутствия.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Обеспечивать снижение негативного воздействия на окружающую среду, ресурсосбережение, принимать все возможные меры по сохранению климата, биоразнообразия и компенсации возможного ущерба окружающей среде.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Осуществлять предупреждающие действия по недопущению негативного воздействия на окружающую среду, что означает приоритет превентивных мер по предотвращению негативного воздействия перед мерами по ликвидации последствий такого воздействия.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Гарантировать соблюдение норм и требований по обеспечению экологической безопасности при освоении месторождений углеводородного сырья на континентальном шельфе и в Арктической зоне Российской Федерации.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 xml:space="preserve">Повышать </w:t>
      </w:r>
      <w:proofErr w:type="spellStart"/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энергоэффективность</w:t>
      </w:r>
      <w:proofErr w:type="spellEnd"/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 xml:space="preserve"> производственных процессов, принимать меры по сокращению выбросов парниковых газов.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Предусматривать на всех стадиях реализации инвестиционных проектов минимизацию рисков негативного воздействия на окружающую среду, в том числе на природные объекты с повышенной уязвимостью и объекты, защита и сохранение которых имеет особое значение.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Учитывать интересы и права коренных малочисленных народов на ведение традиционного образа жизни и сохранение исконной среды обитания.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Обеспечивать вовлечение работников Компании в деятельность по уменьшению экологических рисков, постоянному улучшению системы экологического менеджмента, показателей в области охраны окружающей среды.</w:t>
      </w:r>
    </w:p>
    <w:p w:rsidR="00D01AD7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Повышать компетентность и осознанность роли работников Компании в решении вопросов, связанных с охраной окружающей среды.</w:t>
      </w:r>
    </w:p>
    <w:p w:rsidR="007F5372" w:rsidRPr="003316F8" w:rsidRDefault="007F5372" w:rsidP="00D01AD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Обеспечивать широкую доступность экологической информации, связанной с деятельностью Компании в области охраны окружающей среды и с принимаемыми в этой области решениями.</w:t>
      </w:r>
    </w:p>
    <w:p w:rsidR="007F5372" w:rsidRPr="003316F8" w:rsidRDefault="007F5372" w:rsidP="00201118">
      <w:pPr>
        <w:tabs>
          <w:tab w:val="left" w:pos="7371"/>
          <w:tab w:val="left" w:pos="7513"/>
        </w:tabs>
        <w:spacing w:before="36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E74B5" w:themeColor="accent1" w:themeShade="BF"/>
          <w:lang w:eastAsia="ru-RU"/>
        </w:rPr>
      </w:pPr>
      <w:r w:rsidRPr="003316F8">
        <w:rPr>
          <w:rFonts w:ascii="Times New Roman" w:eastAsia="Times New Roman" w:hAnsi="Times New Roman" w:cs="Times New Roman"/>
          <w:b/>
          <w:color w:val="2E74B5" w:themeColor="accent1" w:themeShade="BF"/>
          <w:lang w:eastAsia="ru-RU"/>
        </w:rPr>
        <w:t>Механизмы выполнения обязательств Экологической политики</w:t>
      </w:r>
    </w:p>
    <w:p w:rsidR="007F5372" w:rsidRPr="003316F8" w:rsidRDefault="007F5372" w:rsidP="007F5372">
      <w:pPr>
        <w:tabs>
          <w:tab w:val="left" w:pos="737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Основными механизмами выполнения обязательств настоящей Экологической политики являются: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поддержание и совершенствование корпоративной системы экологического менеджмента, основанной на требованиях международного стандарта ISO 14001;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установление измеримых корпоративных экологических целей, направленных на снижение негативного воздействия на окружающую среду и обеспечение необходимыми ресурсами мероприятий по их достижению;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обязательный учет экологических аспектов и оценка рисков при планировании деятельности, разработке и реализации инвестиционных проектов;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ведение производственного экологического контроля и мониторинга, проведение оценки воздействия хозяйственной деятельности Компании на окружающую среду;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реализация программ газификации населенных пунктов России;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комплексное развитие рынка по использованию природного газа в качестве газомоторного топлива в Российской Федерации и за рубежом;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участие Компании в глобальных экологических программах и в проектах, направленных на достижение устойчивого развития регионов присутствия;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 xml:space="preserve">стимулирование научных исследований и реализация инновационных проектов, направленных на повышение </w:t>
      </w:r>
      <w:proofErr w:type="spellStart"/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энергоэффективности</w:t>
      </w:r>
      <w:proofErr w:type="spellEnd"/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, использование возобновляемых источников энергии и нетрадиционных энергоресурсов;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применение наилучших доступных технологий на различных стадиях производственной деятельности, включая закупки технологий, материалов и оборудования;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страхование высоких экологических рисков;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организация изучения, понимания и применения на практике каждым работником Компании применимых законодательных и иных требований, относящихся к экологическим аспектам деятельности в регионах присутствия;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системы экологического обучения работников Компании;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вовлечение всех работников Компании в деятельность, связанную с системой экологического менеджмента;</w:t>
      </w:r>
    </w:p>
    <w:p w:rsidR="007F5372" w:rsidRPr="003316F8" w:rsidRDefault="007F5372" w:rsidP="00201118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взаимодействие с организациями и лицами, заинтересованными в повышении экологической безопасности Компании;</w:t>
      </w:r>
    </w:p>
    <w:p w:rsidR="007F5372" w:rsidRPr="003316F8" w:rsidRDefault="007F5372" w:rsidP="000129DB">
      <w:pPr>
        <w:numPr>
          <w:ilvl w:val="0"/>
          <w:numId w:val="2"/>
        </w:numPr>
        <w:tabs>
          <w:tab w:val="left" w:pos="1134"/>
          <w:tab w:val="left" w:pos="751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316F8">
        <w:rPr>
          <w:rFonts w:ascii="Times New Roman" w:eastAsia="Times New Roman" w:hAnsi="Times New Roman" w:cs="Times New Roman"/>
          <w:color w:val="000000"/>
          <w:lang w:eastAsia="ru-RU"/>
        </w:rPr>
        <w:t>доведение обязательств Экологической политики до сведения всех лиц, работающих для Компании или по ее поручению, включая субподрядчиков, работающих на объектах Компании.</w:t>
      </w: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316F8" w:rsidRPr="003316F8" w:rsidRDefault="003316F8" w:rsidP="003316F8">
      <w:pPr>
        <w:tabs>
          <w:tab w:val="left" w:pos="1134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6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Информационный экземпляр</w:t>
      </w:r>
    </w:p>
    <w:sectPr w:rsidR="003316F8" w:rsidRPr="003316F8" w:rsidSect="007F537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3989"/>
    <w:multiLevelType w:val="multilevel"/>
    <w:tmpl w:val="37ECBC3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C362DC"/>
    <w:multiLevelType w:val="multilevel"/>
    <w:tmpl w:val="D520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54"/>
    <w:rsid w:val="00064486"/>
    <w:rsid w:val="00171F54"/>
    <w:rsid w:val="00201118"/>
    <w:rsid w:val="00227D0B"/>
    <w:rsid w:val="003316F8"/>
    <w:rsid w:val="004F10BD"/>
    <w:rsid w:val="00577BF1"/>
    <w:rsid w:val="007F5372"/>
    <w:rsid w:val="0099066A"/>
    <w:rsid w:val="00A24489"/>
    <w:rsid w:val="00BA6104"/>
    <w:rsid w:val="00D01AD7"/>
    <w:rsid w:val="00DD412C"/>
    <w:rsid w:val="00F17EA7"/>
    <w:rsid w:val="00F7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B98C2-9F27-4B7A-882E-A8288CD5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9430">
                      <w:marLeft w:val="21"/>
                      <w:marRight w:val="0"/>
                      <w:marTop w:val="4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47A7D75A</Template>
  <TotalTime>0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Успенская Алла Львовна</dc:creator>
  <cp:keywords/>
  <dc:description/>
  <cp:lastModifiedBy>Прокопенко Антон Петрович</cp:lastModifiedBy>
  <cp:revision>2</cp:revision>
  <cp:lastPrinted>2015-06-26T07:35:00Z</cp:lastPrinted>
  <dcterms:created xsi:type="dcterms:W3CDTF">2015-06-30T03:50:00Z</dcterms:created>
  <dcterms:modified xsi:type="dcterms:W3CDTF">2015-06-30T03:50:00Z</dcterms:modified>
</cp:coreProperties>
</file>